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195CA">
      <w:pPr>
        <w:keepNext w:val="0"/>
        <w:keepLines w:val="0"/>
        <w:pageBreakBefore w:val="0"/>
        <w:widowControl/>
        <w:kinsoku/>
        <w:wordWrap/>
        <w:overflowPunct/>
        <w:topLinePunct w:val="0"/>
        <w:autoSpaceDE/>
        <w:autoSpaceDN/>
        <w:bidi w:val="0"/>
        <w:spacing w:line="240" w:lineRule="auto"/>
        <w:jc w:val="left"/>
        <w:textAlignment w:val="auto"/>
        <w:rPr>
          <w:rFonts w:hint="eastAsia" w:ascii="Verdana" w:hAnsi="Verdana" w:cs="Verdana"/>
          <w:color w:val="auto"/>
          <w:kern w:val="0"/>
          <w:sz w:val="18"/>
          <w:szCs w:val="18"/>
          <w:highlight w:val="none"/>
        </w:rPr>
      </w:pPr>
    </w:p>
    <w:p w14:paraId="07492515">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bookmarkStart w:id="0" w:name="_GoBack"/>
      <w:r>
        <w:rPr>
          <w:rFonts w:hint="eastAsia" w:ascii="方正小标宋简体" w:hAnsi="方正小标宋简体" w:eastAsia="方正小标宋简体" w:cs="方正小标宋简体"/>
          <w:b w:val="0"/>
          <w:bCs w:val="0"/>
          <w:color w:val="000000"/>
          <w:sz w:val="44"/>
          <w:szCs w:val="48"/>
          <w:lang w:eastAsia="zh-CN"/>
        </w:rPr>
        <w:t>酒钢集团甘肃宏兴宏宇新材料有限责任公司</w:t>
      </w:r>
    </w:p>
    <w:p w14:paraId="4D5E115D">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val="en-US" w:eastAsia="zh-CN"/>
        </w:rPr>
        <w:t xml:space="preserve"> </w:t>
      </w:r>
      <w:r>
        <w:rPr>
          <w:rFonts w:hint="eastAsia" w:ascii="方正小标宋简体" w:hAnsi="方正小标宋简体" w:eastAsia="方正小标宋简体" w:cs="方正小标宋简体"/>
          <w:b w:val="0"/>
          <w:bCs w:val="0"/>
          <w:color w:val="000000"/>
          <w:sz w:val="44"/>
          <w:szCs w:val="48"/>
          <w:lang w:eastAsia="zh-CN"/>
        </w:rPr>
        <w:t>编码器\（HEIDENHAIN）ROD430153601L00-HZ采购</w:t>
      </w:r>
    </w:p>
    <w:bookmarkEnd w:id="0"/>
    <w:p w14:paraId="6AE84BFA">
      <w:pPr>
        <w:pStyle w:val="2"/>
        <w:rPr>
          <w:rFonts w:hint="eastAsia"/>
          <w:lang w:eastAsia="zh-CN"/>
        </w:rPr>
      </w:pPr>
    </w:p>
    <w:p w14:paraId="6C740668">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技</w:t>
      </w:r>
    </w:p>
    <w:p w14:paraId="21982B26">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术</w:t>
      </w:r>
    </w:p>
    <w:p w14:paraId="7453AA1F">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eastAsia="zh-CN"/>
        </w:rPr>
        <w:t>规</w:t>
      </w:r>
    </w:p>
    <w:p w14:paraId="54F2981C">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eastAsia="zh-CN"/>
        </w:rPr>
        <w:t>格</w:t>
      </w:r>
    </w:p>
    <w:p w14:paraId="524D1940">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eastAsia="zh-CN"/>
        </w:rPr>
        <w:t>书</w:t>
      </w:r>
    </w:p>
    <w:p w14:paraId="2CAA33A8">
      <w:pPr>
        <w:jc w:val="center"/>
        <w:rPr>
          <w:color w:val="000000"/>
          <w:sz w:val="44"/>
        </w:rPr>
      </w:pPr>
    </w:p>
    <w:p w14:paraId="4847AB75">
      <w:pPr>
        <w:jc w:val="center"/>
        <w:rPr>
          <w:color w:val="000000"/>
          <w:sz w:val="44"/>
        </w:rPr>
      </w:pPr>
    </w:p>
    <w:p w14:paraId="0704E854">
      <w:pPr>
        <w:jc w:val="center"/>
        <w:rPr>
          <w:color w:val="000000"/>
          <w:sz w:val="44"/>
        </w:rPr>
      </w:pPr>
    </w:p>
    <w:p w14:paraId="7AF60F98">
      <w:pPr>
        <w:keepNext w:val="0"/>
        <w:keepLines w:val="0"/>
        <w:pageBreakBefore w:val="0"/>
        <w:widowControl w:val="0"/>
        <w:kinsoku/>
        <w:wordWrap/>
        <w:overflowPunct/>
        <w:topLinePunct w:val="0"/>
        <w:autoSpaceDE/>
        <w:autoSpaceDN/>
        <w:bidi w:val="0"/>
        <w:adjustRightInd/>
        <w:snapToGrid/>
        <w:spacing w:line="720" w:lineRule="auto"/>
        <w:ind w:firstLine="643" w:firstLineChars="200"/>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b/>
          <w:color w:val="000000"/>
          <w:sz w:val="32"/>
          <w:szCs w:val="32"/>
        </w:rPr>
        <w:t>甲    方：</w:t>
      </w:r>
      <w:r>
        <w:rPr>
          <w:rFonts w:hint="eastAsia" w:ascii="仿宋_GB2312" w:hAnsi="仿宋_GB2312" w:eastAsia="仿宋_GB2312" w:cs="仿宋_GB2312"/>
          <w:color w:val="000000"/>
          <w:sz w:val="32"/>
          <w:szCs w:val="32"/>
        </w:rPr>
        <w:t>酒钢集团</w:t>
      </w:r>
      <w:r>
        <w:rPr>
          <w:rFonts w:hint="eastAsia" w:ascii="仿宋_GB2312" w:hAnsi="仿宋_GB2312" w:eastAsia="仿宋_GB2312" w:cs="仿宋_GB2312"/>
          <w:color w:val="000000"/>
          <w:sz w:val="32"/>
          <w:szCs w:val="32"/>
          <w:lang w:eastAsia="zh-CN"/>
        </w:rPr>
        <w:t>甘肃宏兴宏宇新材料有限责任公司</w:t>
      </w:r>
    </w:p>
    <w:p w14:paraId="18E45707">
      <w:pPr>
        <w:keepNext w:val="0"/>
        <w:keepLines w:val="0"/>
        <w:pageBreakBefore w:val="0"/>
        <w:widowControl w:val="0"/>
        <w:kinsoku/>
        <w:wordWrap/>
        <w:overflowPunct/>
        <w:topLinePunct w:val="0"/>
        <w:autoSpaceDE/>
        <w:autoSpaceDN/>
        <w:bidi w:val="0"/>
        <w:adjustRightInd/>
        <w:snapToGrid/>
        <w:spacing w:line="720" w:lineRule="auto"/>
        <w:ind w:firstLine="643"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b/>
          <w:color w:val="000000"/>
          <w:sz w:val="32"/>
          <w:szCs w:val="32"/>
        </w:rPr>
        <w:t>乙    方：</w:t>
      </w:r>
      <w:r>
        <w:rPr>
          <w:rFonts w:hint="eastAsia" w:ascii="仿宋_GB2312" w:hAnsi="仿宋_GB2312" w:eastAsia="仿宋_GB2312" w:cs="仿宋_GB2312"/>
          <w:color w:val="FF0000"/>
          <w:sz w:val="32"/>
          <w:szCs w:val="32"/>
        </w:rPr>
        <w:t xml:space="preserve"> </w:t>
      </w:r>
    </w:p>
    <w:p w14:paraId="5F3B0D66">
      <w:pPr>
        <w:tabs>
          <w:tab w:val="left" w:pos="540"/>
        </w:tabs>
        <w:spacing w:line="360" w:lineRule="auto"/>
        <w:rPr>
          <w:rFonts w:hint="eastAsia" w:ascii="宋体" w:hAnsi="宋体"/>
          <w:b/>
          <w:color w:val="000000"/>
          <w:sz w:val="28"/>
          <w:szCs w:val="28"/>
        </w:rPr>
      </w:pPr>
    </w:p>
    <w:p w14:paraId="17634F56">
      <w:pPr>
        <w:tabs>
          <w:tab w:val="left" w:pos="540"/>
        </w:tabs>
        <w:spacing w:line="360" w:lineRule="auto"/>
        <w:jc w:val="center"/>
        <w:rPr>
          <w:rFonts w:ascii="宋体" w:hAnsi="宋体"/>
          <w:b/>
          <w:color w:val="000000"/>
          <w:sz w:val="28"/>
          <w:szCs w:val="28"/>
        </w:rPr>
      </w:pPr>
      <w:r>
        <w:rPr>
          <w:rFonts w:hint="eastAsia" w:ascii="仿宋_GB2312" w:hAnsi="仿宋_GB2312" w:eastAsia="仿宋_GB2312" w:cs="仿宋_GB2312"/>
          <w:color w:val="000000"/>
          <w:sz w:val="32"/>
          <w:szCs w:val="20"/>
        </w:rPr>
        <w:t>20</w:t>
      </w:r>
      <w:r>
        <w:rPr>
          <w:rFonts w:hint="eastAsia" w:ascii="仿宋_GB2312" w:hAnsi="仿宋_GB2312" w:eastAsia="仿宋_GB2312" w:cs="仿宋_GB2312"/>
          <w:color w:val="000000"/>
          <w:sz w:val="32"/>
          <w:szCs w:val="20"/>
          <w:lang w:val="en-US" w:eastAsia="zh-CN"/>
        </w:rPr>
        <w:t>26</w:t>
      </w:r>
      <w:r>
        <w:rPr>
          <w:rFonts w:hint="eastAsia" w:ascii="仿宋_GB2312" w:hAnsi="仿宋_GB2312" w:eastAsia="仿宋_GB2312" w:cs="仿宋_GB2312"/>
          <w:color w:val="000000"/>
          <w:sz w:val="32"/>
          <w:szCs w:val="20"/>
        </w:rPr>
        <w:t>年   月    日</w:t>
      </w:r>
    </w:p>
    <w:p w14:paraId="26AD6A0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sectPr>
          <w:headerReference r:id="rId3" w:type="default"/>
          <w:footerReference r:id="rId4" w:type="default"/>
          <w:pgSz w:w="11906" w:h="16838"/>
          <w:pgMar w:top="1417" w:right="1417" w:bottom="1417" w:left="1417" w:header="851" w:footer="992" w:gutter="0"/>
          <w:cols w:space="720" w:num="1"/>
          <w:docGrid w:type="lines" w:linePitch="312" w:charSpace="0"/>
        </w:sectPr>
      </w:pPr>
    </w:p>
    <w:p w14:paraId="37EF5381">
      <w:pPr>
        <w:keepNext w:val="0"/>
        <w:keepLines w:val="0"/>
        <w:pageBreakBefore w:val="0"/>
        <w:widowControl w:val="0"/>
        <w:kinsoku/>
        <w:wordWrap/>
        <w:overflowPunct/>
        <w:topLinePunct w:val="0"/>
        <w:autoSpaceDE/>
        <w:autoSpaceDN/>
        <w:bidi w:val="0"/>
        <w:adjustRightInd/>
        <w:snapToGrid/>
        <w:spacing w:line="500" w:lineRule="exact"/>
        <w:ind w:right="0" w:righ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经协商，双方</w:t>
      </w:r>
      <w:r>
        <w:rPr>
          <w:rFonts w:hint="eastAsia" w:ascii="仿宋_GB2312" w:hAnsi="仿宋_GB2312" w:eastAsia="仿宋_GB2312" w:cs="仿宋_GB2312"/>
          <w:sz w:val="32"/>
          <w:szCs w:val="32"/>
          <w:lang w:eastAsia="zh-CN"/>
        </w:rPr>
        <w:t>就70286813</w:t>
      </w:r>
      <w:r>
        <w:rPr>
          <w:rFonts w:hint="eastAsia" w:ascii="仿宋_GB2312" w:hAnsi="仿宋_GB2312" w:eastAsia="仿宋_GB2312" w:cs="仿宋_GB2312"/>
          <w:sz w:val="32"/>
          <w:szCs w:val="32"/>
        </w:rPr>
        <w:t>编码器\（HEIDENHAIN）ROD430153601L00-HZ</w:t>
      </w:r>
      <w:r>
        <w:rPr>
          <w:rFonts w:hint="eastAsia" w:ascii="仿宋_GB2312" w:hAnsi="仿宋_GB2312" w:eastAsia="仿宋_GB2312" w:cs="仿宋_GB2312"/>
          <w:sz w:val="32"/>
          <w:szCs w:val="32"/>
          <w:lang w:val="en-US" w:eastAsia="zh-CN"/>
        </w:rPr>
        <w:t>采购技术规格要求达成如下协议：</w:t>
      </w:r>
    </w:p>
    <w:p w14:paraId="6F4E7B26">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bCs w:val="0"/>
          <w:kern w:val="2"/>
          <w:sz w:val="32"/>
          <w:szCs w:val="32"/>
          <w:lang w:eastAsia="zh-CN"/>
        </w:rPr>
      </w:pPr>
      <w:r>
        <w:rPr>
          <w:rFonts w:hint="eastAsia" w:ascii="仿宋_GB2312" w:hAnsi="仿宋_GB2312" w:eastAsia="仿宋_GB2312" w:cs="仿宋_GB2312"/>
          <w:b/>
          <w:bCs w:val="0"/>
          <w:kern w:val="2"/>
          <w:sz w:val="32"/>
          <w:szCs w:val="32"/>
          <w:lang w:eastAsia="zh-CN"/>
        </w:rPr>
        <w:t>一、总则</w:t>
      </w:r>
    </w:p>
    <w:p w14:paraId="28F72786">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1.本技术规格书作为甲方设备订货合同的附件，与订货合同同时生效，具有同等法律效力。</w:t>
      </w:r>
    </w:p>
    <w:p w14:paraId="6377B63A">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2.本技术规格书所提出的是最低标准的技术要求，并未对一切技术细节做出规定，也未充分引述有关标准和规范的条文，乙方应保证提供符合有关标准和技术文件的优质产品。</w:t>
      </w:r>
    </w:p>
    <w:p w14:paraId="1A8FF804">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3.乙方提供的设备必须是全新、规范、先进的高质量可靠产品，能够确保连续稳定的工作。</w:t>
      </w:r>
    </w:p>
    <w:p w14:paraId="12014C01">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4.乙方对技术规格书和合同文件（包括图纸、说明书等）均采用国际单位。</w:t>
      </w:r>
    </w:p>
    <w:p w14:paraId="24E6B92D">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5.乙方在合同货物制造中，发生侵犯专利的行为时其侵权责任与甲方无关。</w:t>
      </w:r>
    </w:p>
    <w:p w14:paraId="5AEB8055">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6.乙方必须提供质量可靠的标准产品，如在后续使用过程中发现存在质量问题或产品在使用过程中出现质量问题，甲方有权对产品进行退货，乙方赔付甲方造成的所有损失。</w:t>
      </w:r>
    </w:p>
    <w:p w14:paraId="36591ECC">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bCs w:val="0"/>
          <w:kern w:val="2"/>
          <w:sz w:val="32"/>
          <w:szCs w:val="32"/>
          <w:lang w:val="en-US" w:eastAsia="zh-CN"/>
        </w:rPr>
      </w:pPr>
      <w:r>
        <w:rPr>
          <w:rFonts w:hint="eastAsia" w:ascii="仿宋_GB2312" w:hAnsi="仿宋_GB2312" w:eastAsia="仿宋_GB2312" w:cs="仿宋_GB2312"/>
          <w:b/>
          <w:bCs w:val="0"/>
          <w:kern w:val="2"/>
          <w:sz w:val="32"/>
          <w:szCs w:val="32"/>
          <w:lang w:val="en-US" w:eastAsia="zh-CN"/>
        </w:rPr>
        <w:t>二、技术要求</w:t>
      </w:r>
    </w:p>
    <w:p w14:paraId="6A968E73">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1.设备主要性能参数及设备描述：</w:t>
      </w:r>
    </w:p>
    <w:p w14:paraId="2CBD6EA9">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1.1环境温度： -30℃-40℃.</w:t>
      </w:r>
    </w:p>
    <w:p w14:paraId="101E891F">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1.2设备安装环境：  电机非负荷侧</w:t>
      </w:r>
    </w:p>
    <w:p w14:paraId="46B96B16">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1.3样式：绝对值编码器</w:t>
      </w:r>
    </w:p>
    <w:p w14:paraId="60D3CA7A">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1.4适用范围：适用于正反转</w:t>
      </w:r>
    </w:p>
    <w:p w14:paraId="1A358293">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1.5轴径：φ8mm</w:t>
      </w:r>
    </w:p>
    <w:p w14:paraId="1D38B997">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1.6防护等级:IP65</w:t>
      </w:r>
    </w:p>
    <w:p w14:paraId="3A919DF8">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1.7脉冲数：1536/圈ppr</w:t>
      </w:r>
    </w:p>
    <w:p w14:paraId="5E800112">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1.8输入电压：DC12V</w:t>
      </w:r>
    </w:p>
    <w:p w14:paraId="7ED35D32">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2.实物参考图：</w:t>
      </w:r>
      <w:r>
        <w:rPr>
          <w:rFonts w:hint="eastAsia" w:ascii="仿宋_GB2312" w:hAnsi="仿宋_GB2312" w:eastAsia="仿宋_GB2312" w:cs="仿宋_GB2312"/>
          <w:kern w:val="2"/>
          <w:sz w:val="32"/>
          <w:szCs w:val="32"/>
          <w:lang w:val="en-US" w:eastAsia="zh-CN"/>
        </w:rPr>
        <w:tab/>
      </w:r>
    </w:p>
    <w:p w14:paraId="32BAA1AE">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4"/>
          <w:szCs w:val="24"/>
          <w:highlight w:val="none"/>
          <w:lang w:eastAsia="zh-CN"/>
        </w:rPr>
      </w:pPr>
      <w:r>
        <w:drawing>
          <wp:inline distT="0" distB="0" distL="114300" distR="114300">
            <wp:extent cx="5421630" cy="3991610"/>
            <wp:effectExtent l="0" t="0" r="7620" b="889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6"/>
                    <a:stretch>
                      <a:fillRect/>
                    </a:stretch>
                  </pic:blipFill>
                  <pic:spPr>
                    <a:xfrm>
                      <a:off x="0" y="0"/>
                      <a:ext cx="5421630" cy="3991610"/>
                    </a:xfrm>
                    <a:prstGeom prst="rect">
                      <a:avLst/>
                    </a:prstGeom>
                    <a:noFill/>
                    <a:ln>
                      <a:noFill/>
                    </a:ln>
                  </pic:spPr>
                </pic:pic>
              </a:graphicData>
            </a:graphic>
          </wp:inline>
        </w:drawing>
      </w:r>
      <w:r>
        <w:rPr>
          <w:rFonts w:hint="eastAsia" w:ascii="宋体" w:hAnsi="宋体" w:eastAsia="宋体" w:cs="宋体"/>
          <w:lang w:val="en-US" w:eastAsia="zh-CN"/>
        </w:rPr>
        <w:t xml:space="preserve">   </w:t>
      </w:r>
    </w:p>
    <w:p w14:paraId="3C01F609">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bCs w:val="0"/>
          <w:kern w:val="2"/>
          <w:sz w:val="32"/>
          <w:szCs w:val="32"/>
          <w:lang w:val="en-US" w:eastAsia="zh-CN"/>
        </w:rPr>
      </w:pPr>
      <w:r>
        <w:rPr>
          <w:rFonts w:hint="eastAsia" w:ascii="仿宋_GB2312" w:hAnsi="仿宋_GB2312" w:eastAsia="仿宋_GB2312" w:cs="仿宋_GB2312"/>
          <w:b/>
          <w:bCs w:val="0"/>
          <w:kern w:val="2"/>
          <w:sz w:val="32"/>
          <w:szCs w:val="32"/>
          <w:lang w:val="en-US" w:eastAsia="zh-CN"/>
        </w:rPr>
        <w:t xml:space="preserve"> 三、供货范围：</w:t>
      </w:r>
    </w:p>
    <w:tbl>
      <w:tblPr>
        <w:tblStyle w:val="10"/>
        <w:tblW w:w="8597" w:type="dxa"/>
        <w:jc w:val="center"/>
        <w:tblLayout w:type="fixed"/>
        <w:tblCellMar>
          <w:top w:w="0" w:type="dxa"/>
          <w:left w:w="108" w:type="dxa"/>
          <w:bottom w:w="0" w:type="dxa"/>
          <w:right w:w="108" w:type="dxa"/>
        </w:tblCellMar>
      </w:tblPr>
      <w:tblGrid>
        <w:gridCol w:w="685"/>
        <w:gridCol w:w="2243"/>
        <w:gridCol w:w="2280"/>
        <w:gridCol w:w="656"/>
        <w:gridCol w:w="2733"/>
      </w:tblGrid>
      <w:tr w14:paraId="77C33852">
        <w:tblPrEx>
          <w:tblCellMar>
            <w:top w:w="0" w:type="dxa"/>
            <w:left w:w="108" w:type="dxa"/>
            <w:bottom w:w="0" w:type="dxa"/>
            <w:right w:w="108" w:type="dxa"/>
          </w:tblCellMar>
        </w:tblPrEx>
        <w:trPr>
          <w:trHeight w:val="556" w:hRule="atLeast"/>
          <w:jc w:val="center"/>
        </w:trPr>
        <w:tc>
          <w:tcPr>
            <w:tcW w:w="685" w:type="dxa"/>
            <w:tcBorders>
              <w:top w:val="single" w:color="auto" w:sz="4" w:space="0"/>
              <w:left w:val="single" w:color="auto" w:sz="4" w:space="0"/>
              <w:bottom w:val="single" w:color="auto" w:sz="4" w:space="0"/>
              <w:right w:val="single" w:color="auto" w:sz="4" w:space="0"/>
            </w:tcBorders>
            <w:noWrap/>
            <w:vAlign w:val="top"/>
          </w:tcPr>
          <w:p w14:paraId="1D6C6931">
            <w:pPr>
              <w:spacing w:line="360" w:lineRule="auto"/>
              <w:jc w:val="left"/>
              <w:rPr>
                <w:rFonts w:hint="eastAsia" w:ascii="宋体" w:hAnsi="宋体" w:eastAsia="宋体" w:cs="宋体"/>
                <w:spacing w:val="-4"/>
                <w:kern w:val="28"/>
                <w:sz w:val="21"/>
                <w:szCs w:val="21"/>
              </w:rPr>
            </w:pPr>
            <w:r>
              <w:rPr>
                <w:rFonts w:hint="eastAsia" w:cs="Arial"/>
                <w:sz w:val="18"/>
                <w:szCs w:val="18"/>
              </w:rPr>
              <w:t>序号</w:t>
            </w:r>
          </w:p>
        </w:tc>
        <w:tc>
          <w:tcPr>
            <w:tcW w:w="2243" w:type="dxa"/>
            <w:tcBorders>
              <w:top w:val="single" w:color="auto" w:sz="4" w:space="0"/>
              <w:left w:val="single" w:color="auto" w:sz="4" w:space="0"/>
              <w:bottom w:val="single" w:color="auto" w:sz="4" w:space="0"/>
              <w:right w:val="single" w:color="auto" w:sz="4" w:space="0"/>
            </w:tcBorders>
            <w:noWrap/>
            <w:vAlign w:val="top"/>
          </w:tcPr>
          <w:p w14:paraId="4D467FC9">
            <w:pPr>
              <w:spacing w:line="360" w:lineRule="auto"/>
              <w:jc w:val="left"/>
              <w:rPr>
                <w:rFonts w:hint="eastAsia" w:ascii="宋体" w:hAnsi="宋体" w:eastAsia="宋体" w:cs="宋体"/>
                <w:spacing w:val="-4"/>
                <w:kern w:val="28"/>
                <w:sz w:val="21"/>
                <w:szCs w:val="21"/>
                <w:lang w:val="en-US" w:eastAsia="zh-CN"/>
              </w:rPr>
            </w:pPr>
            <w:r>
              <w:rPr>
                <w:rFonts w:hint="eastAsia" w:cs="Arial"/>
                <w:sz w:val="18"/>
                <w:szCs w:val="18"/>
              </w:rPr>
              <w:t>名</w:t>
            </w:r>
            <w:r>
              <w:rPr>
                <w:rFonts w:cs="Arial"/>
                <w:sz w:val="18"/>
                <w:szCs w:val="18"/>
              </w:rPr>
              <w:t xml:space="preserve"> </w:t>
            </w:r>
            <w:r>
              <w:rPr>
                <w:rFonts w:hint="eastAsia" w:cs="Arial"/>
                <w:sz w:val="18"/>
                <w:szCs w:val="18"/>
              </w:rPr>
              <w:t>称</w:t>
            </w:r>
          </w:p>
        </w:tc>
        <w:tc>
          <w:tcPr>
            <w:tcW w:w="2280" w:type="dxa"/>
            <w:tcBorders>
              <w:top w:val="single" w:color="auto" w:sz="4" w:space="0"/>
              <w:left w:val="single" w:color="auto" w:sz="4" w:space="0"/>
              <w:bottom w:val="single" w:color="auto" w:sz="4" w:space="0"/>
              <w:right w:val="single" w:color="auto" w:sz="4" w:space="0"/>
            </w:tcBorders>
            <w:noWrap/>
            <w:vAlign w:val="top"/>
          </w:tcPr>
          <w:p w14:paraId="47CBE361">
            <w:pPr>
              <w:spacing w:line="360" w:lineRule="auto"/>
              <w:jc w:val="left"/>
              <w:rPr>
                <w:rFonts w:hint="eastAsia" w:ascii="宋体" w:hAnsi="宋体" w:eastAsia="宋体" w:cs="宋体"/>
                <w:spacing w:val="-4"/>
                <w:kern w:val="28"/>
                <w:sz w:val="21"/>
                <w:szCs w:val="21"/>
              </w:rPr>
            </w:pPr>
            <w:r>
              <w:rPr>
                <w:rFonts w:hint="eastAsia" w:cs="Arial"/>
                <w:sz w:val="18"/>
                <w:szCs w:val="18"/>
              </w:rPr>
              <w:t>型号</w:t>
            </w:r>
          </w:p>
        </w:tc>
        <w:tc>
          <w:tcPr>
            <w:tcW w:w="656" w:type="dxa"/>
            <w:tcBorders>
              <w:top w:val="single" w:color="auto" w:sz="4" w:space="0"/>
              <w:left w:val="single" w:color="auto" w:sz="4" w:space="0"/>
              <w:bottom w:val="single" w:color="auto" w:sz="4" w:space="0"/>
              <w:right w:val="single" w:color="auto" w:sz="4" w:space="0"/>
            </w:tcBorders>
            <w:noWrap/>
            <w:vAlign w:val="top"/>
          </w:tcPr>
          <w:p w14:paraId="2B866DB7">
            <w:pPr>
              <w:spacing w:line="360" w:lineRule="auto"/>
              <w:jc w:val="center"/>
              <w:rPr>
                <w:rFonts w:hint="eastAsia" w:ascii="宋体" w:hAnsi="宋体" w:eastAsia="宋体" w:cs="宋体"/>
                <w:spacing w:val="-4"/>
                <w:kern w:val="28"/>
                <w:sz w:val="21"/>
                <w:szCs w:val="21"/>
              </w:rPr>
            </w:pPr>
            <w:r>
              <w:rPr>
                <w:rFonts w:hint="eastAsia" w:cs="Arial"/>
                <w:sz w:val="18"/>
                <w:szCs w:val="18"/>
              </w:rPr>
              <w:t>数量</w:t>
            </w:r>
          </w:p>
        </w:tc>
        <w:tc>
          <w:tcPr>
            <w:tcW w:w="2733" w:type="dxa"/>
            <w:tcBorders>
              <w:top w:val="single" w:color="auto" w:sz="4" w:space="0"/>
              <w:left w:val="single" w:color="auto" w:sz="4" w:space="0"/>
              <w:bottom w:val="single" w:color="auto" w:sz="4" w:space="0"/>
              <w:right w:val="single" w:color="auto" w:sz="4" w:space="0"/>
            </w:tcBorders>
            <w:noWrap/>
            <w:vAlign w:val="top"/>
          </w:tcPr>
          <w:p w14:paraId="3837BC97">
            <w:pPr>
              <w:spacing w:line="360" w:lineRule="auto"/>
              <w:jc w:val="center"/>
              <w:rPr>
                <w:rFonts w:hint="eastAsia" w:ascii="宋体" w:hAnsi="宋体" w:eastAsia="宋体" w:cs="宋体"/>
                <w:spacing w:val="-4"/>
                <w:kern w:val="28"/>
                <w:sz w:val="21"/>
                <w:szCs w:val="21"/>
              </w:rPr>
            </w:pPr>
            <w:r>
              <w:rPr>
                <w:rFonts w:hint="eastAsia"/>
                <w:sz w:val="18"/>
                <w:szCs w:val="18"/>
              </w:rPr>
              <w:t>单位</w:t>
            </w:r>
          </w:p>
        </w:tc>
      </w:tr>
      <w:tr w14:paraId="72670742">
        <w:tblPrEx>
          <w:tblCellMar>
            <w:top w:w="0" w:type="dxa"/>
            <w:left w:w="108" w:type="dxa"/>
            <w:bottom w:w="0" w:type="dxa"/>
            <w:right w:w="108" w:type="dxa"/>
          </w:tblCellMar>
        </w:tblPrEx>
        <w:trPr>
          <w:trHeight w:val="551" w:hRule="atLeast"/>
          <w:jc w:val="center"/>
        </w:trPr>
        <w:tc>
          <w:tcPr>
            <w:tcW w:w="685" w:type="dxa"/>
            <w:tcBorders>
              <w:top w:val="nil"/>
              <w:left w:val="single" w:color="auto" w:sz="4" w:space="0"/>
              <w:bottom w:val="single" w:color="auto" w:sz="4" w:space="0"/>
              <w:right w:val="single" w:color="auto" w:sz="4" w:space="0"/>
            </w:tcBorders>
            <w:noWrap/>
            <w:vAlign w:val="center"/>
          </w:tcPr>
          <w:p w14:paraId="23711049">
            <w:pPr>
              <w:spacing w:line="360" w:lineRule="auto"/>
              <w:jc w:val="left"/>
              <w:rPr>
                <w:rFonts w:hint="eastAsia" w:ascii="宋体" w:hAnsi="宋体" w:eastAsia="宋体" w:cs="宋体"/>
                <w:spacing w:val="-4"/>
                <w:kern w:val="28"/>
                <w:sz w:val="21"/>
                <w:szCs w:val="21"/>
              </w:rPr>
            </w:pPr>
            <w:r>
              <w:rPr>
                <w:rFonts w:cs="Arial"/>
                <w:b w:val="0"/>
                <w:bCs w:val="0"/>
                <w:sz w:val="18"/>
                <w:szCs w:val="18"/>
              </w:rPr>
              <w:t>1</w:t>
            </w:r>
          </w:p>
        </w:tc>
        <w:tc>
          <w:tcPr>
            <w:tcW w:w="2243" w:type="dxa"/>
            <w:tcBorders>
              <w:top w:val="nil"/>
              <w:left w:val="nil"/>
              <w:bottom w:val="single" w:color="auto" w:sz="4" w:space="0"/>
              <w:right w:val="single" w:color="auto" w:sz="4" w:space="0"/>
            </w:tcBorders>
            <w:noWrap/>
            <w:vAlign w:val="top"/>
          </w:tcPr>
          <w:p w14:paraId="1EFC7B7F">
            <w:pPr>
              <w:spacing w:line="360" w:lineRule="auto"/>
              <w:jc w:val="center"/>
              <w:rPr>
                <w:rFonts w:hint="eastAsia"/>
                <w:sz w:val="18"/>
                <w:szCs w:val="18"/>
                <w:lang w:val="en-US" w:eastAsia="zh-CN"/>
              </w:rPr>
            </w:pPr>
            <w:r>
              <w:rPr>
                <w:rFonts w:hint="eastAsia"/>
                <w:sz w:val="18"/>
                <w:szCs w:val="18"/>
                <w:lang w:val="en-US" w:eastAsia="zh-CN"/>
              </w:rPr>
              <w:t>编码器</w:t>
            </w:r>
          </w:p>
        </w:tc>
        <w:tc>
          <w:tcPr>
            <w:tcW w:w="2280" w:type="dxa"/>
            <w:tcBorders>
              <w:top w:val="nil"/>
              <w:left w:val="nil"/>
              <w:bottom w:val="single" w:color="auto" w:sz="4" w:space="0"/>
              <w:right w:val="single" w:color="auto" w:sz="4" w:space="0"/>
            </w:tcBorders>
            <w:noWrap/>
            <w:vAlign w:val="top"/>
          </w:tcPr>
          <w:p w14:paraId="06FB950B">
            <w:pPr>
              <w:spacing w:line="360" w:lineRule="auto"/>
              <w:jc w:val="center"/>
              <w:rPr>
                <w:rFonts w:hint="eastAsia"/>
                <w:sz w:val="18"/>
                <w:szCs w:val="18"/>
                <w:lang w:val="en-US" w:eastAsia="zh-CN"/>
              </w:rPr>
            </w:pPr>
            <w:r>
              <w:rPr>
                <w:rFonts w:hint="eastAsia"/>
                <w:sz w:val="18"/>
                <w:szCs w:val="18"/>
                <w:lang w:val="en-US" w:eastAsia="zh-CN"/>
              </w:rPr>
              <w:t>ROD430153601L00-HZ</w:t>
            </w:r>
          </w:p>
        </w:tc>
        <w:tc>
          <w:tcPr>
            <w:tcW w:w="656" w:type="dxa"/>
            <w:tcBorders>
              <w:top w:val="nil"/>
              <w:left w:val="nil"/>
              <w:bottom w:val="single" w:color="auto" w:sz="4" w:space="0"/>
              <w:right w:val="single" w:color="auto" w:sz="4" w:space="0"/>
            </w:tcBorders>
            <w:noWrap/>
            <w:vAlign w:val="top"/>
          </w:tcPr>
          <w:p w14:paraId="3540115D">
            <w:pPr>
              <w:spacing w:line="360" w:lineRule="auto"/>
              <w:jc w:val="center"/>
              <w:rPr>
                <w:rFonts w:hint="eastAsia" w:ascii="宋体" w:hAnsi="宋体" w:eastAsia="宋体" w:cs="宋体"/>
                <w:spacing w:val="-4"/>
                <w:kern w:val="28"/>
                <w:sz w:val="21"/>
                <w:szCs w:val="21"/>
                <w:lang w:val="en-US" w:eastAsia="zh-CN"/>
              </w:rPr>
            </w:pPr>
            <w:r>
              <w:rPr>
                <w:rFonts w:hint="eastAsia" w:cs="Arial"/>
                <w:b/>
                <w:kern w:val="0"/>
                <w:sz w:val="18"/>
                <w:szCs w:val="18"/>
                <w:lang w:val="en-US" w:eastAsia="zh-CN"/>
              </w:rPr>
              <w:t>5</w:t>
            </w:r>
          </w:p>
        </w:tc>
        <w:tc>
          <w:tcPr>
            <w:tcW w:w="2733" w:type="dxa"/>
            <w:tcBorders>
              <w:top w:val="nil"/>
              <w:left w:val="nil"/>
              <w:bottom w:val="single" w:color="auto" w:sz="4" w:space="0"/>
              <w:right w:val="single" w:color="auto" w:sz="4" w:space="0"/>
            </w:tcBorders>
            <w:noWrap/>
            <w:vAlign w:val="top"/>
          </w:tcPr>
          <w:p w14:paraId="2B4BE6BC">
            <w:pPr>
              <w:spacing w:line="360" w:lineRule="auto"/>
              <w:jc w:val="center"/>
              <w:rPr>
                <w:rFonts w:hint="eastAsia" w:ascii="宋体" w:hAnsi="宋体" w:eastAsia="宋体" w:cs="宋体"/>
                <w:spacing w:val="-4"/>
                <w:kern w:val="28"/>
                <w:sz w:val="21"/>
                <w:szCs w:val="21"/>
                <w:lang w:val="en-US" w:eastAsia="zh-CN"/>
              </w:rPr>
            </w:pPr>
            <w:r>
              <w:rPr>
                <w:rFonts w:hint="eastAsia"/>
                <w:sz w:val="18"/>
                <w:szCs w:val="18"/>
                <w:lang w:val="en-US" w:eastAsia="zh-CN"/>
              </w:rPr>
              <w:t>件</w:t>
            </w:r>
          </w:p>
        </w:tc>
      </w:tr>
    </w:tbl>
    <w:p w14:paraId="26D95475">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bCs w:val="0"/>
          <w:kern w:val="2"/>
          <w:sz w:val="32"/>
          <w:szCs w:val="32"/>
          <w:lang w:val="en-US" w:eastAsia="zh-CN"/>
        </w:rPr>
      </w:pPr>
      <w:r>
        <w:rPr>
          <w:rFonts w:hint="eastAsia" w:ascii="仿宋_GB2312" w:hAnsi="仿宋_GB2312" w:eastAsia="仿宋_GB2312" w:cs="仿宋_GB2312"/>
          <w:b/>
          <w:bCs w:val="0"/>
          <w:kern w:val="2"/>
          <w:sz w:val="32"/>
          <w:szCs w:val="32"/>
          <w:lang w:val="en-US" w:eastAsia="zh-CN"/>
        </w:rPr>
        <w:t>四、双方义务和责任</w:t>
      </w:r>
    </w:p>
    <w:p w14:paraId="6E1455C4">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1.甲方：</w:t>
      </w:r>
    </w:p>
    <w:p w14:paraId="7B42618D">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1.1甲方提供工艺要求和使用要求，乙方秉着客户至上的原则，积极进行及时、准确的技术支持与服务，使产品满足最终性能要求和使用要求。</w:t>
      </w:r>
    </w:p>
    <w:p w14:paraId="1140EB6F">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1.2 向乙方提供技术规格要求，配合乙方完成设备的上线测试及精度调整。</w:t>
      </w:r>
    </w:p>
    <w:p w14:paraId="5E246134">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2.乙方：</w:t>
      </w:r>
    </w:p>
    <w:p w14:paraId="18C7C9CC">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2.1乙方负责所供物品的运输、报关等一切费用。</w:t>
      </w:r>
    </w:p>
    <w:p w14:paraId="79CCB836">
      <w:pPr>
        <w:ind w:right="84" w:rightChars="40"/>
        <w:jc w:val="left"/>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2.2乙方提供的</w:t>
      </w:r>
      <w:r>
        <w:rPr>
          <w:rFonts w:hint="eastAsia" w:ascii="仿宋_GB2312" w:hAnsi="仿宋_GB2312" w:eastAsia="仿宋_GB2312" w:cs="仿宋_GB2312"/>
          <w:sz w:val="32"/>
          <w:szCs w:val="32"/>
        </w:rPr>
        <w:t>编码器\（HEIDENHAIN）ROD430153601L00-HZ</w:t>
      </w:r>
      <w:r>
        <w:rPr>
          <w:rFonts w:hint="eastAsia" w:ascii="仿宋_GB2312" w:hAnsi="仿宋_GB2312" w:eastAsia="仿宋_GB2312" w:cs="仿宋_GB2312"/>
          <w:kern w:val="2"/>
          <w:sz w:val="32"/>
          <w:szCs w:val="32"/>
          <w:lang w:val="en-US" w:eastAsia="zh-CN"/>
        </w:rPr>
        <w:t>应能满足甲方现场尺寸要求，能够与甲方厚度测量主体设备匹配安装，质保期限内不属于甲方使用不当发生的质量问题，乙方无偿更换。</w:t>
      </w:r>
    </w:p>
    <w:p w14:paraId="37B5DFE0">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2.3乙方在质保期内免费处理所有故障，更换零部件，保证系统正常运行。</w:t>
      </w:r>
    </w:p>
    <w:p w14:paraId="3AAB27C2">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2.4乙方在交货时甲方要确认好备件数量及明细，如因乙方运输导致零部件损坏丢失的，由乙方进行实物赔偿负责。</w:t>
      </w:r>
    </w:p>
    <w:p w14:paraId="10D0820B">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2.5乙方在供货合同签订完成后按合同期限向甲方交货。</w:t>
      </w:r>
    </w:p>
    <w:p w14:paraId="422BDB2C">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2.6在质保期内如因备件质量问题导致甲方发生设备或产品质量事故故障等，损失由乙方承担，并无偿提供合格件供甲方设备功能恢复的备件。</w:t>
      </w:r>
    </w:p>
    <w:p w14:paraId="1074918F">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bCs w:val="0"/>
          <w:kern w:val="2"/>
          <w:sz w:val="32"/>
          <w:szCs w:val="32"/>
          <w:lang w:val="en-US" w:eastAsia="zh-CN"/>
        </w:rPr>
      </w:pPr>
      <w:r>
        <w:rPr>
          <w:rFonts w:hint="eastAsia" w:ascii="仿宋_GB2312" w:hAnsi="仿宋_GB2312" w:eastAsia="仿宋_GB2312" w:cs="仿宋_GB2312"/>
          <w:b/>
          <w:bCs w:val="0"/>
          <w:kern w:val="2"/>
          <w:sz w:val="32"/>
          <w:szCs w:val="32"/>
          <w:lang w:val="en-US" w:eastAsia="zh-CN"/>
        </w:rPr>
        <w:t>五、质量保证</w:t>
      </w:r>
    </w:p>
    <w:p w14:paraId="02A4D64E">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1.乙方供货的编码器\（HEIDENHAIN）ROD430153601L00-HZ应符合制造地所在的法律法规，还应符合《中华人民共和国安全生产法》等国家法律法规和行业标准。</w:t>
      </w:r>
    </w:p>
    <w:p w14:paraId="4A9A4E61">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2.乙方提供的设备必须具有同行业近几年内的先进制造水平，采用先进工艺，合格材料，成熟的技术或专利技术。乙方在合同中提供的设备和服务发生侵犯专利的行为时，其侵权责任与甲方无关。</w:t>
      </w:r>
    </w:p>
    <w:p w14:paraId="393A1552">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3.乙方确保符合国家有关环保、节能、消防、抗震等现行标准及现行设计、安装规范、规程，严禁使用国家明令禁止、淘汰的设备设施。</w:t>
      </w:r>
    </w:p>
    <w:p w14:paraId="0D213D97">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4.乙方提供所供设备的官方采购证明材料，禁止使用假冒伪劣或贴牌产品。</w:t>
      </w:r>
    </w:p>
    <w:p w14:paraId="4211194F">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5.若乙方所供设备有质量问题或为假冒产品，乙方无偿全部更换为合格产品，期间产生的影响生产损失和人力成本由乙方承担。</w:t>
      </w:r>
    </w:p>
    <w:p w14:paraId="0170A104">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6.乙方必须提供质量可靠的产品，如在后续使用过程中发现存在质量问题或产品在使用过程中出现质量问题，甲方有权对产品进行退货，乙方赔付甲方造成的所有损失。</w:t>
      </w:r>
    </w:p>
    <w:p w14:paraId="3A1AF5B6">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bCs w:val="0"/>
          <w:kern w:val="2"/>
          <w:sz w:val="32"/>
          <w:szCs w:val="32"/>
          <w:lang w:val="en-US" w:eastAsia="zh-CN"/>
        </w:rPr>
      </w:pPr>
      <w:r>
        <w:rPr>
          <w:rFonts w:hint="eastAsia" w:ascii="仿宋_GB2312" w:hAnsi="仿宋_GB2312" w:eastAsia="仿宋_GB2312" w:cs="仿宋_GB2312"/>
          <w:b/>
          <w:bCs w:val="0"/>
          <w:kern w:val="2"/>
          <w:sz w:val="32"/>
          <w:szCs w:val="32"/>
          <w:lang w:val="en-US" w:eastAsia="zh-CN"/>
        </w:rPr>
        <w:t>六、售后服务</w:t>
      </w:r>
    </w:p>
    <w:p w14:paraId="18B78E8E">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1.产品质量保证期指产品自上线投用日起12个月，若在质保期内出现质量问题，乙方在接到甲方的通知后，24小时内给予答复，如需现场服务，乙方安排人员48小时内赶到现场。</w:t>
      </w:r>
    </w:p>
    <w:p w14:paraId="182DD0DD">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2.质保期内因元器件质量问题、设计问题及非甲方造成的组装问题产生的元器件损坏，由乙方无偿提供元器件并指导甲方人员安装和测试。</w:t>
      </w:r>
    </w:p>
    <w:p w14:paraId="2F696615">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3.质量保证期外出现的设备问题，乙方应积极协调技术人员给于甲方提供现场指导、远程指导或提供解决方案至问题解决。</w:t>
      </w:r>
    </w:p>
    <w:p w14:paraId="7D55A50A">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bCs w:val="0"/>
          <w:kern w:val="2"/>
          <w:sz w:val="32"/>
          <w:szCs w:val="32"/>
          <w:lang w:val="en-US" w:eastAsia="zh-CN"/>
        </w:rPr>
      </w:pPr>
      <w:r>
        <w:rPr>
          <w:rFonts w:hint="eastAsia" w:ascii="仿宋_GB2312" w:hAnsi="仿宋_GB2312" w:eastAsia="仿宋_GB2312" w:cs="仿宋_GB2312"/>
          <w:b/>
          <w:bCs w:val="0"/>
          <w:kern w:val="2"/>
          <w:sz w:val="32"/>
          <w:szCs w:val="32"/>
          <w:lang w:val="en-US" w:eastAsia="zh-CN"/>
        </w:rPr>
        <w:t>七、资料交付</w:t>
      </w:r>
    </w:p>
    <w:p w14:paraId="60EFF7C1">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1.提供产品质量合格证、产品说明书、技术手册、安装指南、报关单等。</w:t>
      </w:r>
    </w:p>
    <w:p w14:paraId="201F70FD">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2.满足本规格书所列全部技术参数要求</w:t>
      </w:r>
    </w:p>
    <w:p w14:paraId="085E557B">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3.到货备件尺寸符合现场安装要求。</w:t>
      </w:r>
    </w:p>
    <w:p w14:paraId="06A0E786">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4.邮寄地址：</w:t>
      </w:r>
    </w:p>
    <w:p w14:paraId="0C2002E1">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甲方邮寄信息：酒钢集团甘肃宏兴宏宇新材料有限责任公司</w:t>
      </w:r>
    </w:p>
    <w:p w14:paraId="611429B1">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邮政编码：735100</w:t>
      </w:r>
    </w:p>
    <w:p w14:paraId="3B7EB12F">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收件人；曲广义  电子邮箱：quguangyi@jiugang.com</w:t>
      </w:r>
    </w:p>
    <w:p w14:paraId="08149ACE">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bCs w:val="0"/>
          <w:kern w:val="2"/>
          <w:sz w:val="32"/>
          <w:szCs w:val="32"/>
          <w:lang w:val="en-US" w:eastAsia="zh-CN"/>
        </w:rPr>
      </w:pPr>
      <w:r>
        <w:rPr>
          <w:rFonts w:hint="eastAsia" w:ascii="仿宋_GB2312" w:hAnsi="仿宋_GB2312" w:eastAsia="仿宋_GB2312" w:cs="仿宋_GB2312"/>
          <w:b/>
          <w:bCs w:val="0"/>
          <w:kern w:val="2"/>
          <w:sz w:val="32"/>
          <w:szCs w:val="32"/>
          <w:lang w:val="en-US" w:eastAsia="zh-CN"/>
        </w:rPr>
        <w:t>八、交货时间及地点</w:t>
      </w:r>
    </w:p>
    <w:p w14:paraId="78EA7503">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1.交货时间：合同签订后6个月内。</w:t>
      </w:r>
    </w:p>
    <w:p w14:paraId="10E5082A">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2.交货地点：宏宇新材料公司镀锌作业区现场。</w:t>
      </w:r>
    </w:p>
    <w:p w14:paraId="418A9CBD">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bCs w:val="0"/>
          <w:kern w:val="2"/>
          <w:sz w:val="32"/>
          <w:szCs w:val="32"/>
          <w:lang w:val="en-US" w:eastAsia="zh-CN"/>
        </w:rPr>
      </w:pPr>
      <w:r>
        <w:rPr>
          <w:rFonts w:hint="eastAsia" w:ascii="仿宋_GB2312" w:hAnsi="仿宋_GB2312" w:eastAsia="仿宋_GB2312" w:cs="仿宋_GB2312"/>
          <w:b/>
          <w:bCs w:val="0"/>
          <w:kern w:val="2"/>
          <w:sz w:val="32"/>
          <w:szCs w:val="32"/>
          <w:lang w:val="en-US" w:eastAsia="zh-CN"/>
        </w:rPr>
        <w:t>九、其它事项：</w:t>
      </w:r>
    </w:p>
    <w:p w14:paraId="5F9C49F0">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1.本技术规格书内容经由甲乙双方于   年   月   日    时-   时通过    方式商定。</w:t>
      </w:r>
    </w:p>
    <w:p w14:paraId="2DAB121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2.甲乙双方应当就签订本技术规格书的相关事宜保密，不得将签订主体、时间、内容等信息透露给其他第三人。</w:t>
      </w:r>
    </w:p>
    <w:p w14:paraId="3C0FF14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3.若乙方公司不能中标，则本技术规格书自动失效，双方不承担任何责任。</w:t>
      </w:r>
    </w:p>
    <w:p w14:paraId="3943F42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4.本技术规格书一式四份，甲方三份，乙方一份。</w:t>
      </w:r>
    </w:p>
    <w:p w14:paraId="1C95AFAD">
      <w:pPr>
        <w:adjustRightInd w:val="0"/>
        <w:snapToGrid w:val="0"/>
        <w:spacing w:line="360" w:lineRule="auto"/>
        <w:rPr>
          <w:rFonts w:hint="eastAsia" w:ascii="宋体" w:hAnsi="宋体" w:eastAsia="宋体" w:cs="宋体"/>
          <w:b w:val="0"/>
          <w:bCs/>
          <w:sz w:val="28"/>
          <w:szCs w:val="28"/>
          <w:lang w:eastAsia="zh-CN"/>
        </w:rPr>
      </w:pPr>
    </w:p>
    <w:p w14:paraId="6557FE76">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甲</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方：酒钢集团甘肃宏兴宏宇新材料有限责任公司</w:t>
      </w:r>
    </w:p>
    <w:p w14:paraId="03666DDE">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甲方代表：              </w:t>
      </w:r>
    </w:p>
    <w:p w14:paraId="25C8CEB0">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p>
    <w:p w14:paraId="345CC69B">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乙</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方：</w:t>
      </w:r>
    </w:p>
    <w:p w14:paraId="7EE4D21E">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乙方代表：</w:t>
      </w:r>
    </w:p>
    <w:p w14:paraId="40C7C6E7">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宋体" w:hAnsi="宋体" w:eastAsia="宋体" w:cs="宋体"/>
          <w:lang w:val="sq-AL" w:eastAsia="zh-CN"/>
        </w:rPr>
      </w:pP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p>
    <w:p w14:paraId="0A7B3DDF">
      <w:pPr>
        <w:keepNext w:val="0"/>
        <w:keepLines w:val="0"/>
        <w:pageBreakBefore w:val="0"/>
        <w:widowControl w:val="0"/>
        <w:kinsoku/>
        <w:wordWrap/>
        <w:overflowPunct/>
        <w:topLinePunct w:val="0"/>
        <w:autoSpaceDE/>
        <w:autoSpaceDN/>
        <w:bidi w:val="0"/>
        <w:spacing w:line="360" w:lineRule="auto"/>
        <w:ind w:firstLine="560" w:firstLineChars="200"/>
        <w:textAlignment w:val="auto"/>
        <w:rPr>
          <w:rFonts w:hint="eastAsia" w:ascii="宋体" w:hAnsi="宋体" w:eastAsia="宋体" w:cs="宋体"/>
          <w:bCs/>
          <w:sz w:val="28"/>
          <w:szCs w:val="28"/>
          <w:highlight w:val="none"/>
          <w:lang w:val="en-US" w:eastAsia="zh-CN"/>
        </w:rPr>
      </w:pPr>
    </w:p>
    <w:p w14:paraId="048866A1">
      <w:pPr>
        <w:keepNext w:val="0"/>
        <w:keepLines w:val="0"/>
        <w:pageBreakBefore w:val="0"/>
        <w:widowControl w:val="0"/>
        <w:kinsoku/>
        <w:wordWrap/>
        <w:overflowPunct/>
        <w:topLinePunct w:val="0"/>
        <w:autoSpaceDE/>
        <w:autoSpaceDN/>
        <w:bidi w:val="0"/>
        <w:spacing w:line="360" w:lineRule="auto"/>
        <w:ind w:firstLine="560" w:firstLineChars="200"/>
        <w:textAlignment w:val="auto"/>
        <w:rPr>
          <w:rFonts w:hint="eastAsia" w:ascii="宋体" w:hAnsi="宋体" w:eastAsia="宋体" w:cs="宋体"/>
          <w:bCs/>
          <w:sz w:val="28"/>
          <w:szCs w:val="28"/>
          <w:highlight w:val="none"/>
          <w:lang w:val="en-US" w:eastAsia="zh-CN"/>
        </w:rPr>
      </w:pPr>
    </w:p>
    <w:sectPr>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45F18676-7BD7-4702-A552-11AB6DAA6C19}"/>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embedRegular r:id="rId2" w:fontKey="{E8ABE3CF-2B90-48B0-A1CF-9FA734C65DFB}"/>
  </w:font>
  <w:font w:name="方正小标宋简体">
    <w:panose1 w:val="02000000000000000000"/>
    <w:charset w:val="86"/>
    <w:family w:val="auto"/>
    <w:pitch w:val="default"/>
    <w:sig w:usb0="A00002BF" w:usb1="184F6CFA" w:usb2="00000012" w:usb3="00000000" w:csb0="00040001" w:csb1="00000000"/>
    <w:embedRegular r:id="rId3" w:fontKey="{DDC359C5-393A-4250-A888-49E887A0928F}"/>
  </w:font>
  <w:font w:name="仿宋_GB2312">
    <w:altName w:val="仿宋"/>
    <w:panose1 w:val="02010609060101010101"/>
    <w:charset w:val="86"/>
    <w:family w:val="auto"/>
    <w:pitch w:val="default"/>
    <w:sig w:usb0="00000000" w:usb1="00000000" w:usb2="00000016" w:usb3="00000000" w:csb0="00040001" w:csb1="00000000"/>
    <w:embedRegular r:id="rId4" w:fontKey="{1AB8D296-D4EB-4FE7-9D10-360F65041027}"/>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BBC25">
    <w:pPr>
      <w:pStyle w:val="8"/>
      <w:framePr w:wrap="around" w:vAnchor="text" w:hAnchor="margin" w:xAlign="center" w:y="1"/>
      <w:rPr>
        <w:rStyle w:val="13"/>
      </w:rPr>
    </w:pPr>
    <w:r>
      <w:fldChar w:fldCharType="begin"/>
    </w:r>
    <w:r>
      <w:rPr>
        <w:rStyle w:val="13"/>
      </w:rPr>
      <w:instrText xml:space="preserve">PAGE  </w:instrText>
    </w:r>
    <w:r>
      <w:fldChar w:fldCharType="separate"/>
    </w:r>
    <w:r>
      <w:rPr>
        <w:rStyle w:val="13"/>
      </w:rPr>
      <w:t>7</w:t>
    </w:r>
    <w:r>
      <w:fldChar w:fldCharType="end"/>
    </w:r>
  </w:p>
  <w:p w14:paraId="59CB6C35">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81599">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2E7973"/>
    <w:rsid w:val="00005EF6"/>
    <w:rsid w:val="00065094"/>
    <w:rsid w:val="000656D3"/>
    <w:rsid w:val="00077822"/>
    <w:rsid w:val="00095145"/>
    <w:rsid w:val="00097819"/>
    <w:rsid w:val="000A02DD"/>
    <w:rsid w:val="000A7299"/>
    <w:rsid w:val="000C032F"/>
    <w:rsid w:val="000D366F"/>
    <w:rsid w:val="00112816"/>
    <w:rsid w:val="0012630E"/>
    <w:rsid w:val="00166D7C"/>
    <w:rsid w:val="00194C2A"/>
    <w:rsid w:val="001E2358"/>
    <w:rsid w:val="001E481A"/>
    <w:rsid w:val="002452B3"/>
    <w:rsid w:val="00287E50"/>
    <w:rsid w:val="002C09A2"/>
    <w:rsid w:val="003119B2"/>
    <w:rsid w:val="0032347A"/>
    <w:rsid w:val="003528FB"/>
    <w:rsid w:val="003A3329"/>
    <w:rsid w:val="00404646"/>
    <w:rsid w:val="0041458D"/>
    <w:rsid w:val="00443148"/>
    <w:rsid w:val="004837A8"/>
    <w:rsid w:val="004A5399"/>
    <w:rsid w:val="004C4DEB"/>
    <w:rsid w:val="004F75F1"/>
    <w:rsid w:val="00510A5E"/>
    <w:rsid w:val="00514CA0"/>
    <w:rsid w:val="005642BD"/>
    <w:rsid w:val="00567173"/>
    <w:rsid w:val="005D46FB"/>
    <w:rsid w:val="00603A34"/>
    <w:rsid w:val="00633513"/>
    <w:rsid w:val="00657FCE"/>
    <w:rsid w:val="0066161F"/>
    <w:rsid w:val="00663002"/>
    <w:rsid w:val="00667E3A"/>
    <w:rsid w:val="006F4D5A"/>
    <w:rsid w:val="00706F4A"/>
    <w:rsid w:val="007237F3"/>
    <w:rsid w:val="007279D2"/>
    <w:rsid w:val="00756E52"/>
    <w:rsid w:val="007651A2"/>
    <w:rsid w:val="007C427F"/>
    <w:rsid w:val="00815A7A"/>
    <w:rsid w:val="00881E51"/>
    <w:rsid w:val="008A4BA2"/>
    <w:rsid w:val="008C0D34"/>
    <w:rsid w:val="008C7155"/>
    <w:rsid w:val="008E0645"/>
    <w:rsid w:val="008F20A7"/>
    <w:rsid w:val="00932C2F"/>
    <w:rsid w:val="00933C50"/>
    <w:rsid w:val="0096202E"/>
    <w:rsid w:val="0098036C"/>
    <w:rsid w:val="009809B6"/>
    <w:rsid w:val="009A247D"/>
    <w:rsid w:val="009B4647"/>
    <w:rsid w:val="00A15D71"/>
    <w:rsid w:val="00A57FE1"/>
    <w:rsid w:val="00A7428F"/>
    <w:rsid w:val="00AA024B"/>
    <w:rsid w:val="00AC720F"/>
    <w:rsid w:val="00B248A1"/>
    <w:rsid w:val="00B67683"/>
    <w:rsid w:val="00C6592F"/>
    <w:rsid w:val="00C71402"/>
    <w:rsid w:val="00C71D72"/>
    <w:rsid w:val="00C91210"/>
    <w:rsid w:val="00CA7329"/>
    <w:rsid w:val="00D102F9"/>
    <w:rsid w:val="00D15E57"/>
    <w:rsid w:val="00D36A0D"/>
    <w:rsid w:val="00D45990"/>
    <w:rsid w:val="00D53539"/>
    <w:rsid w:val="00D87E99"/>
    <w:rsid w:val="00D90773"/>
    <w:rsid w:val="00DB0121"/>
    <w:rsid w:val="00E2142A"/>
    <w:rsid w:val="00E46720"/>
    <w:rsid w:val="00E70413"/>
    <w:rsid w:val="00E71C7C"/>
    <w:rsid w:val="00E9434E"/>
    <w:rsid w:val="00E9538A"/>
    <w:rsid w:val="00EA53E2"/>
    <w:rsid w:val="00EB3645"/>
    <w:rsid w:val="00F20378"/>
    <w:rsid w:val="00F46CBF"/>
    <w:rsid w:val="00F60742"/>
    <w:rsid w:val="00F81D40"/>
    <w:rsid w:val="00F97FE8"/>
    <w:rsid w:val="00FA50E8"/>
    <w:rsid w:val="00FD47EF"/>
    <w:rsid w:val="010B7D12"/>
    <w:rsid w:val="0112363F"/>
    <w:rsid w:val="01EC6D10"/>
    <w:rsid w:val="04C53E1B"/>
    <w:rsid w:val="06700194"/>
    <w:rsid w:val="080E28F6"/>
    <w:rsid w:val="081F24B0"/>
    <w:rsid w:val="086F75C9"/>
    <w:rsid w:val="0893511F"/>
    <w:rsid w:val="090F3CC6"/>
    <w:rsid w:val="092779D0"/>
    <w:rsid w:val="09BC2BD5"/>
    <w:rsid w:val="0AAA2016"/>
    <w:rsid w:val="0AD57BB7"/>
    <w:rsid w:val="0BA231F9"/>
    <w:rsid w:val="0CBE612F"/>
    <w:rsid w:val="0D4519C3"/>
    <w:rsid w:val="0E9E6D55"/>
    <w:rsid w:val="0FBC4B4A"/>
    <w:rsid w:val="12B550A3"/>
    <w:rsid w:val="157D0F6E"/>
    <w:rsid w:val="18257149"/>
    <w:rsid w:val="183169FC"/>
    <w:rsid w:val="19CA28B1"/>
    <w:rsid w:val="1ACD6AE1"/>
    <w:rsid w:val="1AD60FA6"/>
    <w:rsid w:val="1CE02650"/>
    <w:rsid w:val="20417172"/>
    <w:rsid w:val="20CB3139"/>
    <w:rsid w:val="21E872AF"/>
    <w:rsid w:val="23D72341"/>
    <w:rsid w:val="260A6329"/>
    <w:rsid w:val="269404CF"/>
    <w:rsid w:val="28E93A0A"/>
    <w:rsid w:val="29174AC8"/>
    <w:rsid w:val="2B4A75F4"/>
    <w:rsid w:val="2BEF1911"/>
    <w:rsid w:val="2D8701D5"/>
    <w:rsid w:val="301A50C5"/>
    <w:rsid w:val="323D70EB"/>
    <w:rsid w:val="32F15F3D"/>
    <w:rsid w:val="33F04676"/>
    <w:rsid w:val="34634608"/>
    <w:rsid w:val="3485645B"/>
    <w:rsid w:val="36526E0E"/>
    <w:rsid w:val="36F46346"/>
    <w:rsid w:val="37DC455C"/>
    <w:rsid w:val="398B3682"/>
    <w:rsid w:val="3AFE01B5"/>
    <w:rsid w:val="3D003CD1"/>
    <w:rsid w:val="3E6218F1"/>
    <w:rsid w:val="3F9222CD"/>
    <w:rsid w:val="3F9A34AD"/>
    <w:rsid w:val="4020558E"/>
    <w:rsid w:val="414D551F"/>
    <w:rsid w:val="41A978CD"/>
    <w:rsid w:val="47354369"/>
    <w:rsid w:val="476F5D7D"/>
    <w:rsid w:val="491E3735"/>
    <w:rsid w:val="49AA1C33"/>
    <w:rsid w:val="4A9753A6"/>
    <w:rsid w:val="4EA135A7"/>
    <w:rsid w:val="4F494D84"/>
    <w:rsid w:val="50BC7FCB"/>
    <w:rsid w:val="50C11096"/>
    <w:rsid w:val="55B00597"/>
    <w:rsid w:val="55E7425E"/>
    <w:rsid w:val="579C3C58"/>
    <w:rsid w:val="584F715A"/>
    <w:rsid w:val="5A6C539C"/>
    <w:rsid w:val="5A843DDB"/>
    <w:rsid w:val="5C383BD3"/>
    <w:rsid w:val="5D252177"/>
    <w:rsid w:val="5D9C41C0"/>
    <w:rsid w:val="5F2E42CF"/>
    <w:rsid w:val="5FB228F3"/>
    <w:rsid w:val="601C7553"/>
    <w:rsid w:val="602B2A77"/>
    <w:rsid w:val="612B4C66"/>
    <w:rsid w:val="62EF085C"/>
    <w:rsid w:val="64CA7F6B"/>
    <w:rsid w:val="697255F1"/>
    <w:rsid w:val="69CC0E27"/>
    <w:rsid w:val="69E166C7"/>
    <w:rsid w:val="69F5303E"/>
    <w:rsid w:val="6AEA12F9"/>
    <w:rsid w:val="6B2E7973"/>
    <w:rsid w:val="6B5B7A81"/>
    <w:rsid w:val="6C211A58"/>
    <w:rsid w:val="6C7B7BED"/>
    <w:rsid w:val="6C837E42"/>
    <w:rsid w:val="6CA84A14"/>
    <w:rsid w:val="6D34185D"/>
    <w:rsid w:val="6DF61F18"/>
    <w:rsid w:val="6ECA5B78"/>
    <w:rsid w:val="6FD544B1"/>
    <w:rsid w:val="717E248A"/>
    <w:rsid w:val="74AD21F0"/>
    <w:rsid w:val="74C37067"/>
    <w:rsid w:val="757D130E"/>
    <w:rsid w:val="75F5791D"/>
    <w:rsid w:val="76737642"/>
    <w:rsid w:val="780008EC"/>
    <w:rsid w:val="78C66289"/>
    <w:rsid w:val="7C024C72"/>
    <w:rsid w:val="7D387B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Calibri"/>
      <w:kern w:val="2"/>
      <w:sz w:val="21"/>
      <w:szCs w:val="21"/>
      <w:lang w:val="en-US" w:eastAsia="zh-CN" w:bidi="ar-SA"/>
    </w:rPr>
  </w:style>
  <w:style w:type="paragraph" w:styleId="2">
    <w:name w:val="heading 3"/>
    <w:basedOn w:val="1"/>
    <w:next w:val="1"/>
    <w:qFormat/>
    <w:uiPriority w:val="0"/>
    <w:pPr>
      <w:keepNext/>
      <w:keepLines/>
      <w:adjustRightInd w:val="0"/>
      <w:spacing w:before="260" w:after="260" w:line="416" w:lineRule="atLeast"/>
      <w:textAlignment w:val="baseline"/>
      <w:outlineLvl w:val="2"/>
    </w:pPr>
    <w:rPr>
      <w:b/>
      <w:bCs/>
      <w:kern w:val="0"/>
      <w:sz w:val="32"/>
      <w:szCs w:val="32"/>
    </w:rPr>
  </w:style>
  <w:style w:type="character" w:default="1" w:styleId="12">
    <w:name w:val="Default Paragraph Font"/>
    <w:qFormat/>
    <w:uiPriority w:val="0"/>
    <w:rPr>
      <w:rFonts w:ascii="Times New Roman" w:hAnsi="Times New Roman" w:eastAsia="宋体" w:cs="Times New Roman"/>
    </w:rPr>
  </w:style>
  <w:style w:type="table" w:default="1" w:styleId="10">
    <w:name w:val="Normal Table"/>
    <w:qFormat/>
    <w:uiPriority w:val="0"/>
    <w:rPr>
      <w:rFonts w:ascii="Times New Roman" w:hAnsi="Times New Roman" w:eastAsia="宋体" w:cs="Times New Roman"/>
    </w:rPr>
    <w:tblPr>
      <w:tblCellMar>
        <w:top w:w="0" w:type="dxa"/>
        <w:left w:w="108" w:type="dxa"/>
        <w:bottom w:w="0" w:type="dxa"/>
        <w:right w:w="108" w:type="dxa"/>
      </w:tblCellMar>
    </w:tblPr>
  </w:style>
  <w:style w:type="paragraph" w:styleId="3">
    <w:name w:val="caption"/>
    <w:basedOn w:val="1"/>
    <w:next w:val="1"/>
    <w:unhideWhenUsed/>
    <w:qFormat/>
    <w:uiPriority w:val="0"/>
    <w:rPr>
      <w:rFonts w:ascii="Arial" w:hAnsi="Arial" w:eastAsia="黑体"/>
      <w:sz w:val="20"/>
    </w:rPr>
  </w:style>
  <w:style w:type="paragraph" w:styleId="4">
    <w:name w:val="toc 5"/>
    <w:basedOn w:val="1"/>
    <w:next w:val="1"/>
    <w:qFormat/>
    <w:uiPriority w:val="39"/>
    <w:pPr>
      <w:ind w:left="1680" w:leftChars="800"/>
    </w:pPr>
  </w:style>
  <w:style w:type="paragraph" w:styleId="5">
    <w:name w:val="Plain Text"/>
    <w:basedOn w:val="1"/>
    <w:link w:val="14"/>
    <w:qFormat/>
    <w:uiPriority w:val="0"/>
    <w:rPr>
      <w:rFonts w:ascii="宋体" w:hAnsi="Courier New" w:eastAsia="宋体" w:cs="Times New Roman"/>
      <w:szCs w:val="20"/>
    </w:rPr>
  </w:style>
  <w:style w:type="paragraph" w:styleId="6">
    <w:name w:val="Date"/>
    <w:basedOn w:val="1"/>
    <w:next w:val="1"/>
    <w:qFormat/>
    <w:uiPriority w:val="0"/>
    <w:pPr>
      <w:ind w:left="100" w:leftChars="2500"/>
    </w:pPr>
    <w:rPr>
      <w:sz w:val="28"/>
    </w:rPr>
  </w:style>
  <w:style w:type="paragraph" w:styleId="7">
    <w:name w:val="Balloon Text"/>
    <w:basedOn w:val="1"/>
    <w:link w:val="15"/>
    <w:qFormat/>
    <w:uiPriority w:val="0"/>
    <w:rPr>
      <w:rFonts w:ascii="Times New Roman" w:hAnsi="Times New Roman" w:eastAsia="宋体" w:cs="Times New Roman"/>
      <w:sz w:val="18"/>
      <w:szCs w:val="18"/>
    </w:rPr>
  </w:style>
  <w:style w:type="paragraph" w:styleId="8">
    <w:name w:val="footer"/>
    <w:basedOn w:val="1"/>
    <w:link w:val="16"/>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table" w:styleId="11">
    <w:name w:val="Table Grid"/>
    <w:basedOn w:val="1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customStyle="1" w:styleId="14">
    <w:name w:val="纯文本 Char"/>
    <w:link w:val="5"/>
    <w:qFormat/>
    <w:uiPriority w:val="0"/>
    <w:rPr>
      <w:rFonts w:ascii="宋体" w:hAnsi="Courier New" w:eastAsia="宋体" w:cs="Times New Roman"/>
      <w:kern w:val="2"/>
      <w:sz w:val="21"/>
    </w:rPr>
  </w:style>
  <w:style w:type="character" w:customStyle="1" w:styleId="15">
    <w:name w:val="批注框文本 Char"/>
    <w:link w:val="7"/>
    <w:qFormat/>
    <w:uiPriority w:val="0"/>
    <w:rPr>
      <w:rFonts w:ascii="Calibri" w:hAnsi="Calibri" w:eastAsia="宋体" w:cs="Calibri"/>
      <w:kern w:val="2"/>
      <w:sz w:val="18"/>
      <w:szCs w:val="18"/>
    </w:rPr>
  </w:style>
  <w:style w:type="character" w:customStyle="1" w:styleId="16">
    <w:name w:val="页脚 Char"/>
    <w:link w:val="8"/>
    <w:qFormat/>
    <w:uiPriority w:val="0"/>
    <w:rPr>
      <w:rFonts w:ascii="Calibri" w:hAnsi="Calibri" w:eastAsia="宋体" w:cs="Calibri"/>
      <w:kern w:val="2"/>
      <w:sz w:val="18"/>
      <w:szCs w:val="18"/>
    </w:rPr>
  </w:style>
  <w:style w:type="character" w:customStyle="1" w:styleId="17">
    <w:name w:val="页眉 Char"/>
    <w:link w:val="9"/>
    <w:qFormat/>
    <w:uiPriority w:val="0"/>
    <w:rPr>
      <w:rFonts w:ascii="Calibri" w:hAnsi="Calibri" w:eastAsia="宋体" w:cs="Calibri"/>
      <w:kern w:val="2"/>
      <w:sz w:val="18"/>
      <w:szCs w:val="18"/>
    </w:rPr>
  </w:style>
  <w:style w:type="paragraph" w:customStyle="1" w:styleId="18">
    <w:name w:val="样式 样式 行距: 1.5 倍行距 + 两端对齐 Char"/>
    <w:basedOn w:val="1"/>
    <w:qFormat/>
    <w:uiPriority w:val="99"/>
    <w:pPr>
      <w:adjustRightInd w:val="0"/>
      <w:snapToGrid w:val="0"/>
      <w:ind w:firstLine="480" w:firstLineChars="200"/>
    </w:pPr>
    <w:rPr>
      <w:rFonts w:ascii="宋体" w:hAnsi="宋体" w:cs="宋体"/>
      <w:sz w:val="24"/>
    </w:rPr>
  </w:style>
  <w:style w:type="paragraph" w:customStyle="1" w:styleId="19">
    <w:name w:val="四级标题"/>
    <w:basedOn w:val="6"/>
    <w:next w:val="20"/>
    <w:qFormat/>
    <w:uiPriority w:val="0"/>
    <w:rPr>
      <w:rFonts w:eastAsia="黑体"/>
    </w:rPr>
  </w:style>
  <w:style w:type="paragraph" w:customStyle="1" w:styleId="20">
    <w:name w:val="font8"/>
    <w:basedOn w:val="1"/>
    <w:next w:val="4"/>
    <w:qFormat/>
    <w:uiPriority w:val="0"/>
    <w:pPr>
      <w:widowControl/>
      <w:spacing w:before="100" w:beforeAutospacing="1" w:after="100" w:afterAutospacing="1"/>
      <w:jc w:val="left"/>
    </w:pPr>
    <w:rPr>
      <w:rFonts w:ascii="宋体" w:hAnsi="宋体" w:eastAsia="宋体" w:cs="宋体"/>
      <w:color w:val="000080"/>
      <w:kern w:val="0"/>
      <w:sz w:val="24"/>
      <w:szCs w:val="24"/>
    </w:rPr>
  </w:style>
  <w:style w:type="character" w:customStyle="1" w:styleId="21">
    <w:name w:val="text"/>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70373935%20&#30005;&#35299;&#30005;&#23481;&#32784;&#21387;&#28431;&#30005;&#27969;&#27979;&#35797;&#20202;f&#25216;&#26415;&#35268;&#26684;&#20070;.docx.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70373935 电解电容耐压漏电流测试仪f技术规格书.docx.dot</Template>
  <Pages>6</Pages>
  <Words>1823</Words>
  <Characters>2077</Characters>
  <Lines>15</Lines>
  <Paragraphs>4</Paragraphs>
  <TotalTime>1</TotalTime>
  <ScaleCrop>false</ScaleCrop>
  <LinksUpToDate>false</LinksUpToDate>
  <CharactersWithSpaces>2166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2025-09-15T11:25:00Z</dcterms:created>
  <dc:creator>焦伟</dc:creator>
  <cp:lastModifiedBy>00054809</cp:lastModifiedBy>
  <dcterms:modified xsi:type="dcterms:W3CDTF">2026-06-25T02:45:17Z</dcterms:modified>
  <dc:title>碳钢薄板厂冷轧作业区</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778A76EBF1154F0DA5E67D5695E0DDF0_11</vt:lpwstr>
  </property>
  <property fmtid="{D5CDD505-2E9C-101B-9397-08002B2CF9AE}" pid="4" name="KSOTemplateDocerSaveRecord">
    <vt:lpwstr>eyJoZGlkIjoiZGVmODFjOWU3YjY2NmExZmY5NjJjMjg5ODAwZGRhMTciLCJ1c2VySWQiOiIxNzYzNTE1ODgwIn0=</vt:lpwstr>
  </property>
</Properties>
</file>